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0CF8767" w14:textId="77777777" w:rsidR="00D81689" w:rsidRPr="00A76F1B" w:rsidRDefault="00D81689" w:rsidP="00D816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48A3B88" w14:textId="271EEEC7" w:rsidR="00D81689" w:rsidRPr="00A76F1B" w:rsidRDefault="00D81689" w:rsidP="00D816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477E7A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  діє згідно Статуту, що затверджений 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 2021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64CBE190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травм, отруєнь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7C9949F2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жіноча консультація .</w:t>
      </w:r>
    </w:p>
    <w:p w14:paraId="1FB6B3B0" w14:textId="77777777" w:rsidR="00D81689" w:rsidRPr="002E792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і жителів сусідніх населених пунктів інших районів.</w:t>
      </w:r>
    </w:p>
    <w:p w14:paraId="3F183AA2" w14:textId="0D54844B" w:rsidR="00D81689" w:rsidRPr="002E792B" w:rsidRDefault="00D81689" w:rsidP="00D8168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 отримати </w:t>
      </w:r>
      <w:bookmarkStart w:id="1" w:name="_Hlk896903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6540,3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інші поточні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3082,0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кошти  від Національної служби здоров’я України в сумі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12326,0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6 пакетах медичних послуг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1931344B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2467,8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5AEB2E5B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2835,4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512212C0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6639,6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5E492" w14:textId="0F0BEB2A" w:rsidR="00AC4667" w:rsidRPr="00AF0771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>21,5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9F1F6F" w14:textId="79AD2DCC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uk-UA"/>
        </w:rPr>
        <w:t>67,5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</w:p>
    <w:p w14:paraId="133AA9DF" w14:textId="3B7C50F6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45,8 </w:t>
      </w:r>
      <w:proofErr w:type="spellStart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DFB0B8" w14:textId="36CEB42F" w:rsidR="00706762" w:rsidRDefault="006E0C39" w:rsidP="00CB516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1689">
        <w:rPr>
          <w:rFonts w:ascii="Times New Roman" w:hAnsi="Times New Roman" w:cs="Times New Roman"/>
          <w:sz w:val="28"/>
          <w:szCs w:val="28"/>
          <w:shd w:val="clear" w:color="auto" w:fill="FFFFFF"/>
        </w:rPr>
        <w:t>248,4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</w:p>
    <w:p w14:paraId="0AEF9C99" w14:textId="3BA6265A" w:rsidR="00353D06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67C18E1F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D8168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3CE2352F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12326,0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75F5B2C7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D816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6540,3</w:t>
      </w:r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3082,0</w:t>
      </w:r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057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4C41880C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3"/>
    <w:p w14:paraId="00C16BCF" w14:textId="7ADE4C24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328,0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FC688" w14:textId="33952043" w:rsidR="00353D06" w:rsidRDefault="00AE6B1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итрати підприємства складаються з:</w:t>
      </w:r>
    </w:p>
    <w:p w14:paraId="1AF38FD2" w14:textId="4F568374" w:rsidR="0085033E" w:rsidRPr="0065362B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A73BFD" w:rsidRPr="00A73BFD">
        <w:rPr>
          <w:rFonts w:ascii="Times New Roman" w:eastAsia="Times New Roman" w:hAnsi="Times New Roman" w:cs="Times New Roman"/>
          <w:sz w:val="28"/>
          <w:szCs w:val="28"/>
          <w:lang w:eastAsia="ru-RU"/>
        </w:rPr>
        <w:t>12005</w:t>
      </w:r>
      <w:r w:rsidR="00A73BFD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3BFD" w:rsidRPr="00A73BFD">
        <w:rPr>
          <w:rFonts w:ascii="Times New Roman" w:eastAsia="Times New Roman" w:hAnsi="Times New Roman" w:cs="Times New Roman"/>
          <w:sz w:val="28"/>
          <w:szCs w:val="28"/>
          <w:lang w:eastAsia="ru-RU"/>
        </w:rPr>
        <w:t>0281,7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1420,0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304,0 </w:t>
      </w:r>
      <w:proofErr w:type="spellStart"/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03F0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заробітну плату в 2023р. складе 6084,4 </w:t>
      </w:r>
      <w:proofErr w:type="spellStart"/>
      <w:r w:rsidR="000D03F0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0D03F0">
        <w:rPr>
          <w:rFonts w:ascii="Times New Roman" w:eastAsia="Calibri" w:hAnsi="Times New Roman" w:cs="Times New Roman"/>
          <w:sz w:val="28"/>
          <w:szCs w:val="28"/>
        </w:rPr>
        <w:t>. Дані видатки не враховано у фінансовому плані.</w:t>
      </w:r>
    </w:p>
    <w:p w14:paraId="43658AE1" w14:textId="132448B7" w:rsidR="000D03F0" w:rsidRPr="000D03F0" w:rsidRDefault="0085033E" w:rsidP="000D03F0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A73BFD" w:rsidRPr="00A73BFD">
        <w:rPr>
          <w:rFonts w:ascii="Times New Roman" w:eastAsia="Times New Roman" w:hAnsi="Times New Roman" w:cs="Times New Roman"/>
          <w:sz w:val="28"/>
          <w:szCs w:val="28"/>
          <w:lang w:eastAsia="ru-RU"/>
        </w:rPr>
        <w:t>2618</w:t>
      </w:r>
      <w:r w:rsidR="000D03F0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3554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за рахунок коштів НСЗУ </w:t>
      </w:r>
      <w:r w:rsidR="00A73BFD" w:rsidRPr="00A7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2241,0 </w:t>
      </w:r>
      <w:proofErr w:type="spellStart"/>
      <w:r w:rsidR="00E753D6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53D6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554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92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 в сумі </w:t>
      </w:r>
      <w:r w:rsidR="000D03F0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310,0</w:t>
      </w:r>
      <w:r w:rsidR="00692E92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2E92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92E92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D03F0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67,8 </w:t>
      </w:r>
      <w:proofErr w:type="spellStart"/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03F0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нарахування на заробітну плату в 2023р. складе 1339,4 </w:t>
      </w:r>
      <w:proofErr w:type="spellStart"/>
      <w:r w:rsidR="000D03F0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0D03F0">
        <w:rPr>
          <w:rFonts w:ascii="Times New Roman" w:eastAsia="Calibri" w:hAnsi="Times New Roman" w:cs="Times New Roman"/>
          <w:sz w:val="28"/>
          <w:szCs w:val="28"/>
        </w:rPr>
        <w:t>. Дані видатки не враховано у фінансовому плані.</w:t>
      </w:r>
    </w:p>
    <w:p w14:paraId="33BF32DE" w14:textId="10638903" w:rsidR="0085033E" w:rsidRPr="000D03F0" w:rsidRDefault="0085033E" w:rsidP="00F863B9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560,0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6B53E7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proofErr w:type="spellStart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E73554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(придбання паливно-мастильних матеріалів</w:t>
      </w:r>
      <w:r w:rsidR="00925168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санітарних авт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омобілів лікарні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420,0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 w:rsidR="000C6557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0F3B60" w14:textId="73E46AD4" w:rsidR="0085033E" w:rsidRPr="006548D9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900,0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700,0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згідно П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22E7" w:rsidRPr="00C122E7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</w:t>
      </w:r>
      <w:r w:rsidR="001052F1">
        <w:rPr>
          <w:rFonts w:ascii="Times New Roman" w:eastAsia="Calibri" w:hAnsi="Times New Roman" w:cs="Times New Roman"/>
          <w:sz w:val="28"/>
          <w:szCs w:val="28"/>
        </w:rPr>
        <w:t>, запаси під час воєнного стану</w:t>
      </w:r>
      <w:r w:rsidR="00C122E7" w:rsidRPr="007A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200,0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 w:rsidR="00CC4F0F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65ABB6" w14:textId="13D72A3B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підтримки: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BAA4B" w14:textId="2FD56769" w:rsidR="00273839" w:rsidRPr="00D7045E" w:rsidRDefault="0085033E" w:rsidP="00CB516B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354,5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 них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90,0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bookmarkStart w:id="4" w:name="_Hlk89693257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</w:t>
      </w:r>
      <w:bookmarkEnd w:id="4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лата за послуги Інтернет (3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дтримка ІР адреси),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відходів);  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264,5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 комп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’ютерних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кисневої системи;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повірка вимірювального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іншого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ичного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обладнання; утилізація відходів; метрологічні послуги по медобладнанню;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 медобладнання;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поточні ремонти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77A90" w14:textId="0A65D6B2" w:rsidR="0085033E" w:rsidRDefault="0085033E" w:rsidP="00CB516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B53E7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рахунок власних коштів (доходів) від операційної діяльності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58E2C" w14:textId="7021FF5B" w:rsidR="0085033E" w:rsidRPr="00BE6D1A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підтримки;</w:t>
      </w:r>
    </w:p>
    <w:p w14:paraId="3DCC201A" w14:textId="750ECF99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170,0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(виплата пільгової пенсії та відшкодування вартості медикаментів для пільгової категорії населення);</w:t>
      </w:r>
    </w:p>
    <w:p w14:paraId="5AF8516C" w14:textId="1A7B3F98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152,0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за рахунок коштів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7B0366E1" w14:textId="33F1FC49" w:rsidR="0085033E" w:rsidRDefault="0085033E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5685C47" w14:textId="6FA8EEE0" w:rsidR="000C6557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EE0F479" w14:textId="77777777" w:rsidR="000C6557" w:rsidRPr="00CB516B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252023B4" w14:textId="67A90BE2" w:rsidR="00353D06" w:rsidRPr="002E792B" w:rsidRDefault="008C4E58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Елементи операційних витрат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- </w:t>
      </w:r>
      <w:r w:rsidR="00A73BF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20494,3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тис.грн</w:t>
      </w:r>
      <w:proofErr w:type="spellEnd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5D067121" w14:textId="00BDA424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Матеріальні витрати становлять – </w:t>
      </w:r>
      <w:r w:rsidR="006B53E7">
        <w:rPr>
          <w:rFonts w:ascii="Times New Roman" w:eastAsia="Calibri" w:hAnsi="Times New Roman" w:cs="Times New Roman"/>
          <w:sz w:val="28"/>
          <w:szCs w:val="28"/>
        </w:rPr>
        <w:t>5</w:t>
      </w:r>
      <w:r w:rsidR="000D03F0">
        <w:rPr>
          <w:rFonts w:ascii="Times New Roman" w:eastAsia="Calibri" w:hAnsi="Times New Roman" w:cs="Times New Roman"/>
          <w:sz w:val="28"/>
          <w:szCs w:val="28"/>
        </w:rPr>
        <w:t>168,3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в т. ч.:</w:t>
      </w:r>
    </w:p>
    <w:p w14:paraId="5B2ED66E" w14:textId="1733E1A8" w:rsidR="00353D06" w:rsidRPr="002E792B" w:rsidRDefault="00353D06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0D03F0">
        <w:rPr>
          <w:rFonts w:ascii="Times New Roman" w:eastAsia="Calibri" w:hAnsi="Times New Roman" w:cs="Times New Roman"/>
          <w:i/>
          <w:sz w:val="28"/>
          <w:szCs w:val="28"/>
        </w:rPr>
        <w:t>900,0</w:t>
      </w:r>
      <w:r w:rsidR="008C4E58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2EE512D4" w14:textId="3B13F33B" w:rsidR="00353D06" w:rsidRPr="002E792B" w:rsidRDefault="00680D2E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</w:t>
      </w:r>
      <w:r w:rsidR="00DA0F09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ладнання та інвентар 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0D03F0">
        <w:rPr>
          <w:rFonts w:ascii="Times New Roman" w:eastAsia="Calibri" w:hAnsi="Times New Roman" w:cs="Times New Roman"/>
          <w:i/>
          <w:sz w:val="28"/>
          <w:szCs w:val="28"/>
        </w:rPr>
        <w:t>560,0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4B8AD2A6" w14:textId="0014985C" w:rsidR="00BD0B94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680D2E" w:rsidRPr="002E792B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0D03F0">
        <w:rPr>
          <w:rFonts w:ascii="Times New Roman" w:eastAsia="Calibri" w:hAnsi="Times New Roman" w:cs="Times New Roman"/>
          <w:i/>
          <w:sz w:val="28"/>
          <w:szCs w:val="28"/>
        </w:rPr>
        <w:t>50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,</w:t>
      </w:r>
      <w:proofErr w:type="gramStart"/>
      <w:r w:rsidR="00AC6B9C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</w:t>
      </w:r>
      <w:proofErr w:type="gramEnd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B35B3F7" w14:textId="4FD119EE" w:rsidR="00353D06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0D03F0">
        <w:rPr>
          <w:rFonts w:ascii="Times New Roman" w:eastAsia="Calibri" w:hAnsi="Times New Roman" w:cs="Times New Roman"/>
          <w:i/>
          <w:sz w:val="28"/>
          <w:szCs w:val="28"/>
          <w:lang w:val="ru-RU"/>
        </w:rPr>
        <w:t>3458,3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460457" w14:textId="4E4D1590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A73BFD" w:rsidRPr="00A73BFD">
        <w:rPr>
          <w:rFonts w:ascii="Times New Roman" w:eastAsia="Calibri" w:hAnsi="Times New Roman" w:cs="Times New Roman"/>
          <w:sz w:val="28"/>
          <w:szCs w:val="28"/>
        </w:rPr>
        <w:t>12005,7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  <w:r w:rsidR="00AC6B9C">
        <w:rPr>
          <w:rFonts w:ascii="Times New Roman" w:eastAsia="Calibri" w:hAnsi="Times New Roman" w:cs="Times New Roman"/>
          <w:sz w:val="28"/>
          <w:szCs w:val="28"/>
        </w:rPr>
        <w:t>(згідно розміру мінімальної заробітної плати 6</w:t>
      </w:r>
      <w:r w:rsidR="009C236B">
        <w:rPr>
          <w:rFonts w:ascii="Times New Roman" w:eastAsia="Calibri" w:hAnsi="Times New Roman" w:cs="Times New Roman"/>
          <w:sz w:val="28"/>
          <w:szCs w:val="28"/>
        </w:rPr>
        <w:t>7</w:t>
      </w:r>
      <w:r w:rsidR="00AC6B9C">
        <w:rPr>
          <w:rFonts w:ascii="Times New Roman" w:eastAsia="Calibri" w:hAnsi="Times New Roman" w:cs="Times New Roman"/>
          <w:sz w:val="28"/>
          <w:szCs w:val="28"/>
        </w:rPr>
        <w:t xml:space="preserve">00 грн та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КМУ від 12.01.2022р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«Деякі питання оплати праці медичних працівників закладів охорони здоров’я»),  </w:t>
      </w:r>
    </w:p>
    <w:p w14:paraId="374BAC8D" w14:textId="278EE091" w:rsidR="00353D06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A73BFD">
        <w:rPr>
          <w:rFonts w:ascii="Times New Roman" w:eastAsia="Calibri" w:hAnsi="Times New Roman" w:cs="Times New Roman"/>
          <w:sz w:val="28"/>
          <w:szCs w:val="28"/>
          <w:lang w:val="ru-RU"/>
        </w:rPr>
        <w:t>2618</w:t>
      </w:r>
      <w:bookmarkStart w:id="5" w:name="_GoBack"/>
      <w:bookmarkEnd w:id="5"/>
      <w:r w:rsidR="008B35F0">
        <w:rPr>
          <w:rFonts w:ascii="Times New Roman" w:eastAsia="Calibri" w:hAnsi="Times New Roman" w:cs="Times New Roman"/>
          <w:sz w:val="28"/>
          <w:szCs w:val="28"/>
        </w:rPr>
        <w:t>,8</w:t>
      </w:r>
      <w:r w:rsidR="0060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692E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6FCE25" w14:textId="35A8A912" w:rsidR="00692E92" w:rsidRPr="00962B62" w:rsidRDefault="00353D06" w:rsidP="00F119FC">
      <w:pPr>
        <w:numPr>
          <w:ilvl w:val="0"/>
          <w:numId w:val="3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B62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8B35F0">
        <w:rPr>
          <w:rFonts w:ascii="Times New Roman" w:eastAsia="Calibri" w:hAnsi="Times New Roman" w:cs="Times New Roman"/>
          <w:sz w:val="28"/>
          <w:szCs w:val="28"/>
        </w:rPr>
        <w:t>701</w:t>
      </w:r>
      <w:r w:rsidR="006B53E7">
        <w:rPr>
          <w:rFonts w:ascii="Times New Roman" w:eastAsia="Calibri" w:hAnsi="Times New Roman" w:cs="Times New Roman"/>
          <w:sz w:val="28"/>
          <w:szCs w:val="28"/>
        </w:rPr>
        <w:t>,5</w:t>
      </w:r>
      <w:r w:rsidR="00AF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107D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AF1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F6142" w14:textId="49A4E47C" w:rsidR="00692E92" w:rsidRDefault="00692E92" w:rsidP="00CB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ІІ розділ  </w:t>
      </w:r>
      <w:r w:rsidR="0060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Капітальні інвестиції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211EEB8" w14:textId="2ACEBCA9" w:rsidR="00692E92" w:rsidRPr="0019545D" w:rsidRDefault="0019545D" w:rsidP="00CB51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</w:t>
      </w:r>
      <w:r w:rsidR="008B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зв’язку з дефіцитом видатків на заробітну плату, не планується видатків по ІІІ розділу фінансового плану 2023р</w:t>
      </w:r>
    </w:p>
    <w:p w14:paraId="6DD7FC4F" w14:textId="77777777" w:rsidR="0019545D" w:rsidRPr="0019545D" w:rsidRDefault="0019545D" w:rsidP="00CB51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551D1BD9" w14:textId="1CA9BEE1" w:rsidR="001A2446" w:rsidRPr="00FE57AB" w:rsidRDefault="001A2446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3F40BA4B" w14:textId="681C729B" w:rsidR="00A76F1B" w:rsidRPr="002E792B" w:rsidRDefault="0053716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Заплановано на 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кінець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B35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зайнятих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штатних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КНП «Диканська лікарня планового лікування»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116,75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лікарі – 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24,5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середній медперсонал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42,25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,75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ізичних осіб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35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7A6ED" w14:textId="77777777" w:rsidR="00CC14DE" w:rsidRPr="00CB516B" w:rsidRDefault="00CC14D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E74AA" w14:textId="7AD24CE3" w:rsidR="00DF6FBB" w:rsidRPr="00DF6FBB" w:rsidRDefault="00DF6FBB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E4A56" w14:textId="70DCAD41" w:rsidR="00DF6FBB" w:rsidRDefault="00DF6FBB" w:rsidP="00CB51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 w:rsidR="008B35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CEF7C24" w14:textId="77777777" w:rsidR="008B35F0" w:rsidRDefault="008B35F0" w:rsidP="008B35F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9BDDD" w14:textId="370B2026" w:rsidR="008B35F0" w:rsidRDefault="008B35F0" w:rsidP="008B35F0">
      <w:pPr>
        <w:spacing w:after="0" w:line="240" w:lineRule="auto"/>
        <w:ind w:firstLine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Очікувано дефіцит по видатках на заробітну плату та нарахування в 2023р. складе </w:t>
      </w:r>
      <w:r w:rsidR="0069667E" w:rsidRPr="0069667E">
        <w:rPr>
          <w:rFonts w:ascii="Times New Roman" w:eastAsia="Calibri" w:hAnsi="Times New Roman" w:cs="Times New Roman"/>
          <w:sz w:val="28"/>
          <w:szCs w:val="28"/>
          <w:lang w:val="ru-RU"/>
        </w:rPr>
        <w:t>7423</w:t>
      </w:r>
      <w:r w:rsidR="0069667E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69667E" w:rsidRPr="0069667E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E36E5" w14:textId="77777777" w:rsidR="008B35F0" w:rsidRDefault="008B35F0" w:rsidP="008B35F0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A9744A0" w14:textId="66883CD1" w:rsidR="008B35F0" w:rsidRDefault="008B35F0" w:rsidP="008B35F0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Пропозиції</w:t>
      </w:r>
      <w:proofErr w:type="spellEnd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погашення</w:t>
      </w:r>
      <w:proofErr w:type="spellEnd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дефіциту</w:t>
      </w:r>
      <w:proofErr w:type="spellEnd"/>
      <w:r w:rsidRPr="008B3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139200FC" w14:textId="77777777" w:rsidR="00E3554D" w:rsidRPr="008B35F0" w:rsidRDefault="00E3554D" w:rsidP="00AF107D">
      <w:pPr>
        <w:spacing w:after="0" w:line="276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8308C88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порушень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подальшій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98C3883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та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аудиту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щонайменше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раз на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півріччя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360E437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дієвий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ефективністю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71FD7BE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розробити</w:t>
      </w:r>
      <w:proofErr w:type="gram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умови для розвитку своїх фахівців, включаючи лікарів та інший медичний персонал. Тобто питання раціонального використання людських ресурсів є значною частиною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серед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пропозицій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BA44B9E" w14:textId="7428FE0C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заходи з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питань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сервісу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лікарні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важливим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елементом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</w:t>
      </w:r>
      <w:r w:rsidR="00AF10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пішності</w:t>
      </w:r>
      <w:proofErr w:type="spellEnd"/>
      <w:proofErr w:type="gram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), 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який</w:t>
      </w:r>
      <w:proofErr w:type="gram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починається із запису пацієнта до лікарні, маршруту пацієнта по лікарні, ставлення до його родичів, умови перебування, виписка пацієнта із лікарні, а також – питання відносин медичного персоналу і пацієнта. </w:t>
      </w:r>
    </w:p>
    <w:p w14:paraId="1BEE428A" w14:textId="53DD2B48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Залучення додаткових коштів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AF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</w:p>
    <w:p w14:paraId="19B77185" w14:textId="77777777" w:rsidR="008B35F0" w:rsidRPr="008B35F0" w:rsidRDefault="008B35F0" w:rsidP="008B35F0">
      <w:pPr>
        <w:spacing w:after="0" w:line="240" w:lineRule="auto"/>
        <w:ind w:firstLine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B3A501" w14:textId="3C956D70" w:rsidR="00E60260" w:rsidRDefault="00E602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4065" w14:textId="77777777" w:rsidR="006B53E7" w:rsidRDefault="006B53E7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54BF5"/>
    <w:rsid w:val="0006667D"/>
    <w:rsid w:val="000B2B41"/>
    <w:rsid w:val="000C301C"/>
    <w:rsid w:val="000C6557"/>
    <w:rsid w:val="000D03F0"/>
    <w:rsid w:val="000F4AEB"/>
    <w:rsid w:val="001052F1"/>
    <w:rsid w:val="00162210"/>
    <w:rsid w:val="001677BE"/>
    <w:rsid w:val="0019545D"/>
    <w:rsid w:val="001A2446"/>
    <w:rsid w:val="001B2361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4959"/>
    <w:rsid w:val="00377FE7"/>
    <w:rsid w:val="003D0160"/>
    <w:rsid w:val="003D3FF9"/>
    <w:rsid w:val="004119AF"/>
    <w:rsid w:val="00444477"/>
    <w:rsid w:val="004547BC"/>
    <w:rsid w:val="004868FD"/>
    <w:rsid w:val="00524227"/>
    <w:rsid w:val="00537161"/>
    <w:rsid w:val="005E7610"/>
    <w:rsid w:val="00607BF3"/>
    <w:rsid w:val="0063369A"/>
    <w:rsid w:val="00663973"/>
    <w:rsid w:val="00680D2E"/>
    <w:rsid w:val="00687745"/>
    <w:rsid w:val="00692E92"/>
    <w:rsid w:val="0069667E"/>
    <w:rsid w:val="006B53E7"/>
    <w:rsid w:val="006D78BF"/>
    <w:rsid w:val="006E0C39"/>
    <w:rsid w:val="006F6E30"/>
    <w:rsid w:val="007001AF"/>
    <w:rsid w:val="00706762"/>
    <w:rsid w:val="00742F6C"/>
    <w:rsid w:val="00744163"/>
    <w:rsid w:val="00766E0B"/>
    <w:rsid w:val="007725EB"/>
    <w:rsid w:val="007A6E2B"/>
    <w:rsid w:val="007F259C"/>
    <w:rsid w:val="008148DD"/>
    <w:rsid w:val="0085033E"/>
    <w:rsid w:val="0087469E"/>
    <w:rsid w:val="008A5A2F"/>
    <w:rsid w:val="008B35F0"/>
    <w:rsid w:val="008C4E58"/>
    <w:rsid w:val="008D066F"/>
    <w:rsid w:val="009249F7"/>
    <w:rsid w:val="00925168"/>
    <w:rsid w:val="00930C46"/>
    <w:rsid w:val="009428A0"/>
    <w:rsid w:val="00945342"/>
    <w:rsid w:val="00962B62"/>
    <w:rsid w:val="009B1BB2"/>
    <w:rsid w:val="009C236B"/>
    <w:rsid w:val="00A00577"/>
    <w:rsid w:val="00A26C81"/>
    <w:rsid w:val="00A73BFD"/>
    <w:rsid w:val="00A76F1B"/>
    <w:rsid w:val="00A82D2F"/>
    <w:rsid w:val="00A93D9D"/>
    <w:rsid w:val="00AA298C"/>
    <w:rsid w:val="00AC4667"/>
    <w:rsid w:val="00AC57AE"/>
    <w:rsid w:val="00AC6B9C"/>
    <w:rsid w:val="00AE6B17"/>
    <w:rsid w:val="00AF0771"/>
    <w:rsid w:val="00AF107D"/>
    <w:rsid w:val="00AF2DF2"/>
    <w:rsid w:val="00AF7922"/>
    <w:rsid w:val="00B3704C"/>
    <w:rsid w:val="00B820C7"/>
    <w:rsid w:val="00B974EC"/>
    <w:rsid w:val="00BA7B3D"/>
    <w:rsid w:val="00BD0B94"/>
    <w:rsid w:val="00C122E7"/>
    <w:rsid w:val="00C17F31"/>
    <w:rsid w:val="00C24A04"/>
    <w:rsid w:val="00C3226B"/>
    <w:rsid w:val="00C35784"/>
    <w:rsid w:val="00C46B72"/>
    <w:rsid w:val="00CB516B"/>
    <w:rsid w:val="00CC14DE"/>
    <w:rsid w:val="00CC4F0F"/>
    <w:rsid w:val="00CC59BF"/>
    <w:rsid w:val="00CD4ACE"/>
    <w:rsid w:val="00D652B6"/>
    <w:rsid w:val="00D7045E"/>
    <w:rsid w:val="00D81689"/>
    <w:rsid w:val="00DA0F09"/>
    <w:rsid w:val="00DB54F8"/>
    <w:rsid w:val="00DB738E"/>
    <w:rsid w:val="00DC6872"/>
    <w:rsid w:val="00DD1BB1"/>
    <w:rsid w:val="00DF16B6"/>
    <w:rsid w:val="00DF352C"/>
    <w:rsid w:val="00DF6FBB"/>
    <w:rsid w:val="00E03AD9"/>
    <w:rsid w:val="00E12AF1"/>
    <w:rsid w:val="00E204C1"/>
    <w:rsid w:val="00E258DB"/>
    <w:rsid w:val="00E3554D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5BF4B7FA-288F-46AC-8EA1-12F3E2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9</cp:revision>
  <cp:lastPrinted>2022-09-22T14:14:00Z</cp:lastPrinted>
  <dcterms:created xsi:type="dcterms:W3CDTF">2022-09-22T14:06:00Z</dcterms:created>
  <dcterms:modified xsi:type="dcterms:W3CDTF">2022-12-26T10:37:00Z</dcterms:modified>
</cp:coreProperties>
</file>